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보 증 금 반 환 정 산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.    .    . ~ 20    .    .    .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퇴거(인도)일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년     월     일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근거(영수증·견적·사진)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 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계약서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미납 월세 (      월분)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미납 관리비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공과금(전기·수도·가스)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4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합의한 원상복구비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5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공제 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반환할 금액 (보증금 − 공제 합계)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반환일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받을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  계좌번호:                       예금주:</w:t>
            </w:r>
          </w:p>
        </w:tc>
      </w:tr>
    </w:tbl>
    <w:p/>
    <w:p>
      <w:pPr>
        <w:jc w:val="left"/>
      </w:pPr>
      <w:r>
        <w:t>위 정산 내용을 양쪽이 확인하였으며, 반환할 금액을 지급·수령하면 이 임대차 보증금에 관한 정산을 마친 것으로 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보증금 반환 정산서(공제 내역서)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